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after="0" w:line="560" w:lineRule="exact"/>
        <w:textAlignment w:val="auto"/>
        <w:rPr>
          <w:rFonts w:ascii="宋体" w:eastAsia="宋体"/>
          <w:sz w:val="32"/>
          <w:szCs w:val="32"/>
        </w:rPr>
      </w:pPr>
    </w:p>
    <w:p>
      <w:pPr>
        <w:keepNext w:val="0"/>
        <w:keepLines w:val="0"/>
        <w:pageBreakBefore w:val="0"/>
        <w:kinsoku/>
        <w:wordWrap/>
        <w:overflowPunct/>
        <w:topLinePunct w:val="0"/>
        <w:autoSpaceDE/>
        <w:autoSpaceDN/>
        <w:bidi w:val="0"/>
        <w:adjustRightInd/>
        <w:snapToGrid/>
        <w:spacing w:after="0" w:line="560" w:lineRule="exact"/>
        <w:textAlignment w:val="auto"/>
        <w:rPr>
          <w:rFonts w:ascii="宋体" w:eastAsia="宋体"/>
          <w:sz w:val="44"/>
          <w:szCs w:val="44"/>
        </w:rPr>
      </w:pPr>
    </w:p>
    <w:p>
      <w:pPr>
        <w:keepNext w:val="0"/>
        <w:keepLines w:val="0"/>
        <w:pageBreakBefore w:val="0"/>
        <w:kinsoku/>
        <w:wordWrap/>
        <w:overflowPunct/>
        <w:topLinePunct w:val="0"/>
        <w:autoSpaceDE/>
        <w:autoSpaceDN/>
        <w:bidi w:val="0"/>
        <w:adjustRightInd/>
        <w:snapToGrid/>
        <w:spacing w:after="0" w:line="560" w:lineRule="exact"/>
        <w:textAlignment w:val="auto"/>
        <w:rPr>
          <w:rFonts w:ascii="宋体" w:eastAsia="宋体"/>
          <w:sz w:val="44"/>
          <w:szCs w:val="44"/>
        </w:rPr>
      </w:pPr>
    </w:p>
    <w:p>
      <w:pPr>
        <w:keepNext w:val="0"/>
        <w:keepLines w:val="0"/>
        <w:pageBreakBefore w:val="0"/>
        <w:kinsoku/>
        <w:wordWrap/>
        <w:overflowPunct/>
        <w:topLinePunct w:val="0"/>
        <w:autoSpaceDE/>
        <w:autoSpaceDN/>
        <w:bidi w:val="0"/>
        <w:adjustRightInd/>
        <w:snapToGrid/>
        <w:spacing w:after="0" w:line="560" w:lineRule="exact"/>
        <w:textAlignment w:val="auto"/>
        <w:rPr>
          <w:rFonts w:ascii="宋体" w:eastAsia="宋体"/>
          <w:sz w:val="44"/>
          <w:szCs w:val="44"/>
        </w:rPr>
      </w:pPr>
    </w:p>
    <w:p>
      <w:pPr>
        <w:keepNext w:val="0"/>
        <w:keepLines w:val="0"/>
        <w:pageBreakBefore w:val="0"/>
        <w:kinsoku/>
        <w:wordWrap/>
        <w:overflowPunct/>
        <w:topLinePunct w:val="0"/>
        <w:autoSpaceDE/>
        <w:autoSpaceDN/>
        <w:bidi w:val="0"/>
        <w:adjustRightInd/>
        <w:snapToGrid/>
        <w:spacing w:after="0" w:line="560" w:lineRule="exact"/>
        <w:textAlignment w:val="auto"/>
        <w:rPr>
          <w:rFonts w:ascii="宋体" w:eastAsia="宋体"/>
          <w:sz w:val="44"/>
          <w:szCs w:val="44"/>
        </w:rPr>
      </w:pP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新疆艺术剧院民族乐团（新疆民乐团）</w:t>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2024年度部门决算公开说明</w:t>
      </w:r>
    </w:p>
    <w:p>
      <w:pPr>
        <w:keepNext w:val="0"/>
        <w:keepLines w:val="0"/>
        <w:pageBreakBefore w:val="0"/>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val="0"/>
        <w:kinsoku/>
        <w:wordWrap/>
        <w:overflowPunct/>
        <w:topLinePunct w:val="0"/>
        <w:autoSpaceDE/>
        <w:autoSpaceDN/>
        <w:bidi w:val="0"/>
        <w:adjustRightInd/>
        <w:snapToGrid/>
        <w:spacing w:after="0"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仿宋_GB2312" w:hAnsi="仿宋_GB2312" w:eastAsia="仿宋_GB2312" w:cs="仿宋_GB2312"/>
          <w:b/>
          <w:bCs w:val="0"/>
          <w:kern w:val="0"/>
          <w:sz w:val="36"/>
          <w:szCs w:val="36"/>
          <w:highlight w:val="none"/>
        </w:rPr>
        <w:t>目  录</w:t>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11"/>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w:t>
      </w:r>
      <w:r>
        <w:rPr>
          <w:rFonts w:hint="eastAsia" w:ascii="仿宋_GB2312" w:hAnsi="仿宋_GB2312" w:eastAsia="仿宋_GB2312" w:cs="仿宋_GB2312"/>
          <w:b/>
          <w:bCs/>
          <w:sz w:val="32"/>
          <w:szCs w:val="32"/>
          <w:highlight w:val="none"/>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13"/>
        <w:keepNext w:val="0"/>
        <w:keepLines w:val="0"/>
        <w:pageBreakBefore w:val="0"/>
        <w:widowControl w:val="0"/>
        <w:tabs>
          <w:tab w:val="right" w:leader="dot" w:pos="8306"/>
        </w:tabs>
        <w:kinsoku/>
        <w:wordWrap/>
        <w:overflowPunct/>
        <w:topLinePunct w:val="0"/>
        <w:autoSpaceDE/>
        <w:autoSpaceDN/>
        <w:bidi w:val="0"/>
        <w:adjustRightInd/>
        <w:snapToGrid/>
        <w:spacing w:after="0"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after="0" w:line="560" w:lineRule="exact"/>
        <w:textAlignment w:val="auto"/>
      </w:pPr>
      <w:r>
        <w:rPr>
          <w:rFonts w:hint="eastAsia" w:ascii="仿宋_GB2312" w:hAnsi="仿宋_GB2312" w:eastAsia="仿宋_GB2312" w:cs="仿宋_GB2312"/>
          <w:szCs w:val="32"/>
          <w:highlight w:val="none"/>
        </w:rPr>
        <w:fldChar w:fldCharType="end"/>
      </w: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第一部分</w:t>
      </w:r>
      <w:r>
        <w:rPr>
          <w:rFonts w:hint="eastAsia" w:ascii="黑体" w:eastAsia="黑体"/>
          <w:sz w:val="32"/>
          <w:szCs w:val="32"/>
          <w:lang w:val="en-US" w:eastAsia="zh-CN"/>
        </w:rPr>
        <w:t xml:space="preserve"> </w:t>
      </w:r>
      <w:r>
        <w:rPr>
          <w:rFonts w:ascii="黑体" w:eastAsia="黑体"/>
          <w:sz w:val="32"/>
          <w:szCs w:val="32"/>
        </w:rPr>
        <w:t>单位概况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新疆艺术剧院民族乐团</w:t>
      </w:r>
      <w:r>
        <w:rPr>
          <w:rFonts w:hint="eastAsia" w:ascii="CESI仿宋-GB2312" w:hAnsi="CESI仿宋-GB2312" w:eastAsia="CESI仿宋-GB2312" w:cs="CESI仿宋-GB2312"/>
          <w:sz w:val="32"/>
          <w:szCs w:val="32"/>
          <w:highlight w:val="none"/>
        </w:rPr>
        <w:t>（新疆民乐团）</w:t>
      </w:r>
      <w:r>
        <w:rPr>
          <w:rFonts w:hint="eastAsia" w:ascii="仿宋_GB2312" w:eastAsia="仿宋_GB2312"/>
          <w:sz w:val="32"/>
          <w:szCs w:val="32"/>
          <w:highlight w:val="none"/>
          <w:lang w:val="en-US" w:eastAsia="zh-CN"/>
        </w:rPr>
        <w:t>成立于2009年10月，属于差额拨款事业单位，上级单位是新疆艺术剧院，主管部门为自治区文化和旅游厅。我单位主要以创作演出优秀的民族音乐曲目，进行舞台民族音乐作品的创作，整理加工传统民族音乐与保护，为广大观众服务。</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highlight w:val="none"/>
          <w:lang w:val="en-US" w:eastAsia="zh-CN"/>
        </w:rPr>
        <w:t>新疆艺术剧院民族乐团</w:t>
      </w:r>
      <w:r>
        <w:rPr>
          <w:rFonts w:hint="eastAsia" w:ascii="CESI仿宋-GB2312" w:hAnsi="CESI仿宋-GB2312" w:eastAsia="CESI仿宋-GB2312" w:cs="CESI仿宋-GB2312"/>
          <w:sz w:val="32"/>
          <w:szCs w:val="32"/>
          <w:highlight w:val="none"/>
        </w:rPr>
        <w:t>（新疆民乐团）</w:t>
      </w:r>
      <w:r>
        <w:rPr>
          <w:rFonts w:ascii="仿宋_GB2312" w:eastAsia="仿宋_GB2312"/>
          <w:sz w:val="32"/>
          <w:szCs w:val="32"/>
          <w:highlight w:val="none"/>
        </w:rPr>
        <w:t>2024年度，实有人数45人，其中：在职人员34人，减少1人；离休人员0人</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增加0人；</w:t>
      </w:r>
      <w:r>
        <w:rPr>
          <w:rFonts w:ascii="仿宋_GB2312" w:eastAsia="仿宋_GB2312"/>
          <w:sz w:val="32"/>
          <w:szCs w:val="32"/>
        </w:rPr>
        <w:t>退休人员11人，增加1人。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highlight w:val="none"/>
          <w:lang w:val="en-US" w:eastAsia="zh-CN"/>
        </w:rPr>
        <w:t>新疆艺术剧院民族乐团</w:t>
      </w:r>
      <w:r>
        <w:rPr>
          <w:rFonts w:hint="eastAsia" w:ascii="CESI仿宋-GB2312" w:hAnsi="CESI仿宋-GB2312" w:eastAsia="CESI仿宋-GB2312" w:cs="CESI仿宋-GB2312"/>
          <w:sz w:val="32"/>
          <w:szCs w:val="32"/>
          <w:highlight w:val="none"/>
        </w:rPr>
        <w:t>（新疆民乐团）</w:t>
      </w:r>
      <w:r>
        <w:rPr>
          <w:rFonts w:hint="eastAsia" w:ascii="仿宋_GB2312" w:eastAsia="仿宋_GB2312"/>
          <w:sz w:val="32"/>
          <w:szCs w:val="32"/>
          <w:lang w:val="en-US" w:eastAsia="zh-CN"/>
        </w:rPr>
        <w:t>无下属预算单位，下设6个科室，分别是：乐队、党建办公</w:t>
      </w:r>
      <w:r>
        <w:rPr>
          <w:rFonts w:ascii="仿宋_GB2312" w:eastAsia="仿宋_GB2312"/>
          <w:sz w:val="32"/>
          <w:szCs w:val="32"/>
        </w:rPr>
        <w:t>室、行政办公室、人事办公室、财务办公室、创研室。</w:t>
      </w:r>
    </w:p>
    <w:p>
      <w:pPr>
        <w:keepNext w:val="0"/>
        <w:keepLines w:val="0"/>
        <w:pageBreakBefore w:val="0"/>
        <w:widowControl/>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第二部分</w:t>
      </w:r>
      <w:r>
        <w:rPr>
          <w:rFonts w:hint="eastAsia" w:ascii="黑体" w:eastAsia="黑体"/>
          <w:sz w:val="32"/>
          <w:szCs w:val="32"/>
          <w:lang w:val="en-US" w:eastAsia="zh-CN"/>
        </w:rPr>
        <w:t xml:space="preserve"> </w:t>
      </w:r>
      <w:r>
        <w:rPr>
          <w:rFonts w:ascii="黑体" w:eastAsia="黑体"/>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2024年度收入总计1,324.71万元，</w:t>
      </w:r>
      <w:r>
        <w:rPr>
          <w:rFonts w:ascii="仿宋_GB2312" w:eastAsia="仿宋_GB2312"/>
          <w:sz w:val="32"/>
          <w:szCs w:val="32"/>
        </w:rPr>
        <w:t>其中：本年收入合计1,309.06万元，使用非财政拨款结余（含专用结余）0.00万元，年初结转和结余15.64万元。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2024年度支出总计1,324.71万元，</w:t>
      </w:r>
      <w:r>
        <w:rPr>
          <w:rFonts w:ascii="仿宋_GB2312" w:eastAsia="仿宋_GB2312"/>
          <w:sz w:val="32"/>
          <w:szCs w:val="32"/>
        </w:rPr>
        <w:t>其中：本年支出合计1,261.92万元，结余分配0.00万元，年末结转和结余62.79万元。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sz w:val="32"/>
          <w:szCs w:val="32"/>
          <w:highlight w:val="yellow"/>
          <w:lang w:val="en-US" w:eastAsia="zh-CN"/>
        </w:rPr>
      </w:pPr>
      <w:r>
        <w:rPr>
          <w:rFonts w:ascii="仿宋_GB2312" w:eastAsia="仿宋_GB2312"/>
          <w:b/>
          <w:bCs/>
          <w:sz w:val="32"/>
          <w:szCs w:val="32"/>
        </w:rPr>
        <w:t>收入支出总体与上年相比，</w:t>
      </w:r>
      <w:r>
        <w:rPr>
          <w:rFonts w:ascii="仿宋_GB2312" w:eastAsia="仿宋_GB2312"/>
          <w:sz w:val="32"/>
          <w:szCs w:val="32"/>
        </w:rPr>
        <w:t>增加91.27万元，增长7.40%，主要原因是：年中追加中央补助地方公共文化服务体系建设补助资金经费比上年增加</w:t>
      </w:r>
      <w:r>
        <w:rPr>
          <w:rFonts w:ascii="仿宋_GB2312" w:eastAsia="仿宋_GB2312"/>
          <w:sz w:val="32"/>
          <w:szCs w:val="32"/>
          <w:highlight w:val="none"/>
        </w:rPr>
        <w:t>，事业收入比上年增加</w:t>
      </w:r>
      <w:r>
        <w:rPr>
          <w:rFonts w:hint="eastAsia" w:ascii="仿宋_GB2312" w:eastAsia="仿宋_GB2312"/>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本年收入1,309.06万元，</w:t>
      </w:r>
      <w:r>
        <w:rPr>
          <w:rFonts w:ascii="仿宋_GB2312" w:eastAsia="仿宋_GB2312"/>
          <w:sz w:val="32"/>
          <w:szCs w:val="32"/>
        </w:rPr>
        <w:t>其中：财政拨款收入1,226.12万元,占93.66%；上级补助收入0.00万元,占0.00%；事业收入78.03万元，占5.96%；经营收入0.00万元,占0.00%；附属单位上缴收入0.00万元，占0.00%；其他收入4.91万元，占0.38%。</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本年支出1,261.92万元，</w:t>
      </w:r>
      <w:r>
        <w:rPr>
          <w:rFonts w:ascii="仿宋_GB2312" w:eastAsia="仿宋_GB2312"/>
          <w:sz w:val="32"/>
          <w:szCs w:val="32"/>
        </w:rPr>
        <w:t>其中：基本支出837.58万元，占66.37%；项目支出424.33万元，占33.63%；上缴上级支出0.00万元，占0.00%；经营支出0.00万元，占0.00%；对附属单位补助支出0.00万元，占0.00%。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2024年度财政拨款收入总计1,226.12万元，</w:t>
      </w:r>
      <w:r>
        <w:rPr>
          <w:rFonts w:ascii="仿宋_GB2312" w:eastAsia="仿宋_GB2312"/>
          <w:sz w:val="32"/>
          <w:szCs w:val="32"/>
        </w:rPr>
        <w:t>其中：年初财政拨款结转和结余0.00万元，本年财政拨款收入1,226.12万元。</w:t>
      </w:r>
      <w:r>
        <w:rPr>
          <w:rFonts w:ascii="仿宋_GB2312" w:eastAsia="仿宋_GB2312"/>
          <w:b/>
          <w:bCs/>
          <w:sz w:val="32"/>
          <w:szCs w:val="32"/>
        </w:rPr>
        <w:t>财政拨款支出总计1,226.12万元</w:t>
      </w:r>
      <w:r>
        <w:rPr>
          <w:rFonts w:ascii="仿宋_GB2312" w:eastAsia="仿宋_GB2312"/>
          <w:sz w:val="32"/>
          <w:szCs w:val="32"/>
        </w:rPr>
        <w:t>，其中：年末财政拨款结转和结余0.00万元，本年财政拨款支出1,226.12万元。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sz w:val="32"/>
          <w:szCs w:val="32"/>
        </w:rPr>
        <w:t>增加26.48万元，增长2.21%，主要原因是：年中追加中央补助地方公共文化服务体系建设补助资金经费比上年增加。</w:t>
      </w:r>
      <w:r>
        <w:rPr>
          <w:rFonts w:ascii="仿宋_GB2312" w:eastAsia="仿宋_GB2312"/>
          <w:b/>
          <w:bCs/>
          <w:sz w:val="32"/>
          <w:szCs w:val="32"/>
        </w:rPr>
        <w:t>与年初预算相比，</w:t>
      </w:r>
      <w:r>
        <w:rPr>
          <w:rFonts w:ascii="仿宋_GB2312" w:eastAsia="仿宋_GB2312"/>
          <w:sz w:val="32"/>
          <w:szCs w:val="32"/>
        </w:rPr>
        <w:t>年初预算数1,045.83万元，决算数1,226.12万元，预决算差异率17.24%，主要原因是：年中追加中央补助地方公共文化服务体系建设补助资金经费</w:t>
      </w:r>
      <w:r>
        <w:rPr>
          <w:rFonts w:hint="eastAsia" w:ascii="仿宋_GB2312" w:eastAsia="仿宋_GB2312"/>
          <w:sz w:val="32"/>
          <w:szCs w:val="32"/>
          <w:lang w:eastAsia="zh-CN"/>
        </w:rPr>
        <w:t>、</w:t>
      </w:r>
      <w:r>
        <w:rPr>
          <w:rFonts w:ascii="仿宋_GB2312" w:eastAsia="仿宋_GB2312"/>
          <w:sz w:val="32"/>
          <w:szCs w:val="32"/>
        </w:rPr>
        <w:t>自治区访惠聚工作经费、新疆人才发展基金2024年度第一轮支持资金—天池英才引进计划经费。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2024年度一般公共预算财政拨款支出1,226.12万元，</w:t>
      </w:r>
      <w:r>
        <w:rPr>
          <w:rFonts w:ascii="仿宋_GB2312" w:eastAsia="仿宋_GB2312"/>
          <w:sz w:val="32"/>
          <w:szCs w:val="32"/>
        </w:rPr>
        <w:t>占本年支出合计的97.16%。</w:t>
      </w:r>
      <w:r>
        <w:rPr>
          <w:rFonts w:ascii="仿宋_GB2312" w:eastAsia="仿宋_GB2312"/>
          <w:b/>
          <w:bCs/>
          <w:sz w:val="32"/>
          <w:szCs w:val="32"/>
        </w:rPr>
        <w:t>与上年相比，</w:t>
      </w:r>
      <w:r>
        <w:rPr>
          <w:rFonts w:ascii="仿宋_GB2312" w:eastAsia="仿宋_GB2312"/>
          <w:sz w:val="32"/>
          <w:szCs w:val="32"/>
        </w:rPr>
        <w:t>增加26.48万元，增长2.21%，主要原因是：年中追加中央补助地方公共文化服务体系建设补助资金经费比上年增加。</w:t>
      </w:r>
      <w:r>
        <w:rPr>
          <w:rFonts w:ascii="仿宋_GB2312" w:eastAsia="仿宋_GB2312"/>
          <w:b/>
          <w:bCs/>
          <w:sz w:val="32"/>
          <w:szCs w:val="32"/>
        </w:rPr>
        <w:t>与年初预算相比，</w:t>
      </w:r>
      <w:r>
        <w:rPr>
          <w:rFonts w:ascii="仿宋_GB2312" w:eastAsia="仿宋_GB2312"/>
          <w:sz w:val="32"/>
          <w:szCs w:val="32"/>
        </w:rPr>
        <w:t>年初预算数1,045.83万元，决算数1,226.12万元，预决算差异率17.24%，主要原因是：年中追加中央补助地方公共文化服务体系建设补助资金经费</w:t>
      </w:r>
      <w:r>
        <w:rPr>
          <w:rFonts w:hint="eastAsia" w:ascii="仿宋_GB2312" w:eastAsia="仿宋_GB2312"/>
          <w:sz w:val="32"/>
          <w:szCs w:val="32"/>
          <w:lang w:eastAsia="zh-CN"/>
        </w:rPr>
        <w:t>、</w:t>
      </w:r>
      <w:r>
        <w:rPr>
          <w:rFonts w:ascii="仿宋_GB2312" w:eastAsia="仿宋_GB2312"/>
          <w:sz w:val="32"/>
          <w:szCs w:val="32"/>
        </w:rPr>
        <w:t>自治区访惠聚工作经费、新疆人才发展基金2024年度第一轮支持资金—天池英才引进计划经费。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1.</w:t>
      </w:r>
      <w:r>
        <w:rPr>
          <w:rFonts w:ascii="仿宋_GB2312" w:eastAsia="仿宋_GB2312"/>
          <w:sz w:val="32"/>
          <w:szCs w:val="32"/>
        </w:rPr>
        <w:t>文化旅游体育与传媒支出（类）1,216.12万元，占99.18%。</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2.</w:t>
      </w:r>
      <w:r>
        <w:rPr>
          <w:rFonts w:ascii="仿宋_GB2312" w:eastAsia="仿宋_GB2312"/>
          <w:sz w:val="32"/>
          <w:szCs w:val="32"/>
        </w:rPr>
        <w:t>社会保障和就业支出（类）10.00万元，占0.82%。</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highlight w:val="yellow"/>
        </w:rPr>
      </w:pPr>
      <w:r>
        <w:rPr>
          <w:rFonts w:hint="eastAsia" w:ascii="仿宋_GB2312" w:eastAsia="仿宋_GB2312"/>
          <w:sz w:val="32"/>
          <w:szCs w:val="32"/>
          <w:lang w:val="en-US" w:eastAsia="zh-CN"/>
        </w:rPr>
        <w:t>1.</w:t>
      </w:r>
      <w:r>
        <w:rPr>
          <w:rFonts w:ascii="仿宋_GB2312" w:eastAsia="仿宋_GB2312"/>
          <w:sz w:val="32"/>
          <w:szCs w:val="32"/>
        </w:rPr>
        <w:t>文化旅游体育与传媒支出（类）文化和旅游（款）艺术表演团体（项）：支出决算数为1,021.94万元，比上年决算增加94.75万元，增长10.22%，主要原因是：年中追加中央补助地方公共文化服务体系建设补助资金经费</w:t>
      </w:r>
      <w:r>
        <w:rPr>
          <w:rFonts w:hint="eastAsia" w:ascii="仿宋_GB2312" w:eastAsia="仿宋_GB2312"/>
          <w:sz w:val="32"/>
          <w:szCs w:val="32"/>
          <w:lang w:eastAsia="zh-CN"/>
        </w:rPr>
        <w:t>、</w:t>
      </w:r>
      <w:r>
        <w:rPr>
          <w:rFonts w:ascii="仿宋_GB2312" w:eastAsia="仿宋_GB2312"/>
          <w:sz w:val="32"/>
          <w:szCs w:val="32"/>
        </w:rPr>
        <w:t>自治区访惠聚工作经费</w:t>
      </w:r>
      <w:r>
        <w:rPr>
          <w:rFonts w:ascii="仿宋_GB2312" w:eastAsia="仿宋_GB2312"/>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2.</w:t>
      </w:r>
      <w:r>
        <w:rPr>
          <w:rFonts w:ascii="仿宋_GB2312" w:eastAsia="仿宋_GB2312"/>
          <w:sz w:val="32"/>
          <w:szCs w:val="32"/>
        </w:rPr>
        <w:t>文化旅游体育与传媒支出（类）文化和旅游（款）文化创作与保护（项）：支出决算数为75.00万元，比上年决算减少35.00万元，下降31.82%，主要原因是：自治区文艺艺术创作专项扶持经费比上年减少5.00万元,自治区文艺扶持激励项目经费比上年减少30.00万</w:t>
      </w:r>
      <w:r>
        <w:rPr>
          <w:rFonts w:hint="eastAsia" w:ascii="仿宋_GB2312" w:eastAsia="仿宋_GB2312"/>
          <w:sz w:val="32"/>
          <w:szCs w:val="32"/>
          <w:lang w:val="en-US" w:eastAsia="zh-CN"/>
        </w:rPr>
        <w:t>元</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文化旅游体育与传媒支出（类）文化和旅游（款）其他文化和旅游支出（项）：支出决算数为60.00万元，比上年决算减少102.45万元，下降63.07%，主要原因是：自治区旅游发展专项经费比上年减少85.00万元、文化人才专项经费比上年减少17.45万</w:t>
      </w:r>
      <w:r>
        <w:rPr>
          <w:rFonts w:hint="eastAsia" w:ascii="仿宋_GB2312" w:eastAsia="仿宋_GB2312"/>
          <w:sz w:val="32"/>
          <w:szCs w:val="32"/>
          <w:lang w:val="en-US" w:eastAsia="zh-CN"/>
        </w:rPr>
        <w:t>元</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文化旅游体育与传媒支出（类）其他文化旅游体育与传媒支出（款）其他文化旅游体育与传媒支出（项）：支出决算数为59.18万元，比上年决算增加59.18万元，增长100.00%，主要原因是：年中追加中央补助地方公共文化服务体系建设补助资金经费比上年增加59.18万</w:t>
      </w:r>
      <w:r>
        <w:rPr>
          <w:rFonts w:hint="eastAsia" w:ascii="仿宋_GB2312" w:eastAsia="仿宋_GB2312"/>
          <w:sz w:val="32"/>
          <w:szCs w:val="32"/>
          <w:lang w:val="en-US" w:eastAsia="zh-CN"/>
        </w:rPr>
        <w:t>元</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5.</w:t>
      </w:r>
      <w:r>
        <w:rPr>
          <w:rFonts w:ascii="仿宋_GB2312" w:eastAsia="仿宋_GB2312"/>
          <w:sz w:val="32"/>
          <w:szCs w:val="32"/>
        </w:rPr>
        <w:t>社会保障和就业支出（类）人力资源和社会保障管理事务（款）其他人力资源和社会保障管理事务支出（项）：支出决算数为10.00万元，比上年决算增加10.00万元，增长100.00%，主要原因是：新疆人才发展基金2024年度第一轮支持资金—天池英才引进计划经费比上年增加10.00万元</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2024年度一般公共预算财政拨款基本支出821.94万元，其中：</w:t>
      </w:r>
      <w:r>
        <w:rPr>
          <w:rFonts w:ascii="仿宋_GB2312" w:eastAsia="仿宋_GB2312"/>
          <w:b/>
          <w:bCs/>
          <w:sz w:val="32"/>
          <w:szCs w:val="32"/>
        </w:rPr>
        <w:t>人员经费750.32万元，</w:t>
      </w:r>
      <w:r>
        <w:rPr>
          <w:rFonts w:ascii="仿宋_GB2312" w:eastAsia="仿宋_GB2312"/>
          <w:sz w:val="32"/>
          <w:szCs w:val="32"/>
        </w:rPr>
        <w:t>包括：基本工资、津贴补贴、奖金、绩效工资、机关事业单位基本养老保险缴费、职业年金缴费、职工基本医疗保险缴费、公务员医疗补助缴费、其他社会保障缴费、住房公积金、退休费和其他对个人和家庭的补助。</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公用经费71.62万元，</w:t>
      </w:r>
      <w:r>
        <w:rPr>
          <w:rFonts w:ascii="仿宋_GB2312" w:eastAsia="仿宋_GB2312"/>
          <w:sz w:val="32"/>
          <w:szCs w:val="32"/>
        </w:rPr>
        <w:t>包括：办公费、水费、邮电费、差旅费、工会经费、福利费和其他商品和服务支出。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本</w:t>
      </w:r>
      <w:r>
        <w:rPr>
          <w:rFonts w:hint="eastAsia" w:ascii="仿宋_GB2312" w:eastAsia="仿宋_GB2312"/>
          <w:sz w:val="32"/>
          <w:szCs w:val="32"/>
        </w:rPr>
        <w:t>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lang w:val="en-US" w:eastAsia="zh-CN"/>
        </w:rPr>
        <w:t>本</w:t>
      </w:r>
      <w:r>
        <w:rPr>
          <w:rFonts w:hint="eastAsia" w:ascii="仿宋_GB2312" w:eastAsia="仿宋_GB2312"/>
          <w:sz w:val="32"/>
          <w:szCs w:val="32"/>
        </w:rPr>
        <w:t>单位本年度无国有资本经营预算财政拨款收入、支出及结转和结余，国有资本经营预算财政拨款收入支出决算表为空表</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九、财政拨款</w:t>
      </w:r>
      <w:r>
        <w:rPr>
          <w:rFonts w:hint="eastAsia" w:ascii="黑体" w:eastAsia="黑体"/>
          <w:sz w:val="32"/>
          <w:szCs w:val="32"/>
          <w:lang w:eastAsia="zh-CN"/>
        </w:rPr>
        <w:t>“</w:t>
      </w:r>
      <w:r>
        <w:rPr>
          <w:rFonts w:ascii="黑体" w:eastAsia="黑体"/>
          <w:sz w:val="32"/>
          <w:szCs w:val="32"/>
        </w:rPr>
        <w:t>三公</w:t>
      </w:r>
      <w:r>
        <w:rPr>
          <w:rFonts w:hint="eastAsia" w:ascii="黑体" w:eastAsia="黑体"/>
          <w:sz w:val="32"/>
          <w:szCs w:val="32"/>
          <w:lang w:eastAsia="zh-CN"/>
        </w:rPr>
        <w:t>”</w:t>
      </w:r>
      <w:r>
        <w:rPr>
          <w:rFonts w:ascii="黑体" w:eastAsia="黑体"/>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hint="eastAsia" w:ascii="仿宋_GB2312" w:eastAsia="仿宋_GB2312"/>
          <w:b/>
          <w:bCs/>
          <w:sz w:val="32"/>
          <w:szCs w:val="32"/>
          <w:lang w:val="zh-CN"/>
        </w:rPr>
        <w:t>202</w:t>
      </w:r>
      <w:r>
        <w:rPr>
          <w:rFonts w:hint="eastAsia" w:ascii="仿宋_GB2312" w:eastAsia="仿宋_GB2312"/>
          <w:b/>
          <w:bCs/>
          <w:sz w:val="32"/>
          <w:szCs w:val="32"/>
          <w:lang w:val="en-US" w:eastAsia="zh-CN"/>
        </w:rPr>
        <w:t>4</w:t>
      </w:r>
      <w:r>
        <w:rPr>
          <w:rFonts w:hint="eastAsia" w:ascii="仿宋_GB2312" w:eastAsia="仿宋_GB2312"/>
          <w:b/>
          <w:bCs/>
          <w:sz w:val="32"/>
          <w:szCs w:val="32"/>
          <w:lang w:val="zh-CN"/>
        </w:rPr>
        <w:t>年度</w:t>
      </w:r>
      <w:r>
        <w:rPr>
          <w:rFonts w:hint="eastAsia" w:ascii="仿宋_GB2312" w:eastAsia="仿宋_GB2312"/>
          <w:b/>
          <w:bCs/>
          <w:sz w:val="32"/>
          <w:szCs w:val="32"/>
        </w:rPr>
        <w:t>财政拨款</w:t>
      </w:r>
      <w:r>
        <w:rPr>
          <w:rFonts w:hint="eastAsia" w:ascii="仿宋_GB2312" w:eastAsia="仿宋_GB2312"/>
          <w:b/>
          <w:bCs/>
          <w:sz w:val="32"/>
          <w:szCs w:val="32"/>
          <w:lang w:eastAsia="zh-CN"/>
        </w:rPr>
        <w:t>“</w:t>
      </w:r>
      <w:r>
        <w:rPr>
          <w:rFonts w:hint="eastAsia" w:ascii="仿宋_GB2312" w:eastAsia="仿宋_GB2312"/>
          <w:b/>
          <w:bCs/>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b w:val="0"/>
          <w:sz w:val="32"/>
          <w:szCs w:val="32"/>
        </w:rPr>
        <w:t>2023年与2024年均未安排</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w:t>
      </w:r>
      <w:r>
        <w:rPr>
          <w:rFonts w:hint="eastAsia" w:ascii="仿宋_GB2312" w:eastAsia="仿宋_GB2312"/>
          <w:b w:val="0"/>
          <w:sz w:val="32"/>
          <w:szCs w:val="32"/>
          <w:lang w:eastAsia="zh-CN"/>
        </w:rPr>
        <w:t>支出</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bookmarkStart w:id="0" w:name="OLE_LINK1"/>
      <w:r>
        <w:rPr>
          <w:rFonts w:ascii="仿宋_GB2312" w:eastAsia="仿宋_GB2312"/>
          <w:b w:val="0"/>
          <w:sz w:val="32"/>
          <w:szCs w:val="32"/>
        </w:rPr>
        <w:t>2023年与2024年均未安排因公出国（境）</w:t>
      </w:r>
      <w:r>
        <w:rPr>
          <w:rFonts w:hint="eastAsia" w:ascii="仿宋_GB2312" w:eastAsia="仿宋_GB2312"/>
          <w:b w:val="0"/>
          <w:sz w:val="32"/>
          <w:szCs w:val="32"/>
          <w:lang w:val="en-US" w:eastAsia="zh-CN"/>
        </w:rPr>
        <w:t>经</w:t>
      </w:r>
      <w:r>
        <w:rPr>
          <w:rFonts w:ascii="仿宋_GB2312" w:eastAsia="仿宋_GB2312"/>
          <w:b w:val="0"/>
          <w:sz w:val="32"/>
          <w:szCs w:val="32"/>
        </w:rPr>
        <w:t>费</w:t>
      </w:r>
      <w:bookmarkEnd w:id="0"/>
      <w:r>
        <w:rPr>
          <w:rFonts w:hint="eastAsia" w:ascii="仿宋_GB2312" w:eastAsia="仿宋_GB2312"/>
          <w:b w:val="0"/>
          <w:sz w:val="32"/>
          <w:szCs w:val="32"/>
          <w:lang w:eastAsia="zh-CN"/>
        </w:rPr>
        <w:t>支出</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b w:val="0"/>
          <w:sz w:val="32"/>
          <w:szCs w:val="32"/>
        </w:rPr>
        <w:t>2023年与2024年均未安排公务用车购置及运行维护费</w:t>
      </w:r>
      <w:r>
        <w:rPr>
          <w:rFonts w:hint="eastAsia" w:ascii="仿宋_GB2312" w:eastAsia="仿宋_GB2312"/>
          <w:b w:val="0"/>
          <w:sz w:val="32"/>
          <w:szCs w:val="32"/>
          <w:lang w:eastAsia="zh-CN"/>
        </w:rPr>
        <w:t>支出</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ascii="仿宋_GB2312" w:eastAsia="仿宋_GB2312"/>
          <w:b w:val="0"/>
          <w:sz w:val="32"/>
          <w:szCs w:val="32"/>
        </w:rPr>
        <w:t>2023年与2024年均未安排公务接待</w:t>
      </w:r>
      <w:r>
        <w:rPr>
          <w:rFonts w:hint="eastAsia" w:ascii="仿宋_GB2312" w:eastAsia="仿宋_GB2312"/>
          <w:b w:val="0"/>
          <w:sz w:val="32"/>
          <w:szCs w:val="32"/>
          <w:lang w:val="en-US" w:eastAsia="zh-CN"/>
        </w:rPr>
        <w:t>经</w:t>
      </w:r>
      <w:r>
        <w:rPr>
          <w:rFonts w:ascii="仿宋_GB2312" w:eastAsia="仿宋_GB2312"/>
          <w:b w:val="0"/>
          <w:sz w:val="32"/>
          <w:szCs w:val="32"/>
        </w:rPr>
        <w:t>费</w:t>
      </w:r>
      <w:r>
        <w:rPr>
          <w:rFonts w:hint="eastAsia" w:ascii="仿宋_GB2312" w:eastAsia="仿宋_GB2312"/>
          <w:b w:val="0"/>
          <w:sz w:val="32"/>
          <w:szCs w:val="32"/>
          <w:lang w:eastAsia="zh-CN"/>
        </w:rPr>
        <w:t>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b/>
          <w:bCs/>
          <w:sz w:val="32"/>
          <w:szCs w:val="32"/>
        </w:rPr>
      </w:pPr>
      <w:r>
        <w:rPr>
          <w:rFonts w:ascii="仿宋_GB2312" w:eastAsia="仿宋_GB2312"/>
          <w:b/>
          <w:bCs/>
          <w:sz w:val="32"/>
          <w:szCs w:val="32"/>
        </w:rPr>
        <w:t>具体情况如下：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本单位年初未安排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hint="eastAsia" w:ascii="仿宋_GB2312" w:eastAsia="仿宋_GB2312"/>
          <w:sz w:val="32"/>
          <w:szCs w:val="32"/>
          <w:lang w:val="zh-CN"/>
        </w:rPr>
        <w:t>。单位全年安排的因公出国（境）团组0个，因公出国（境）0人次。</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本单位年初未安排</w:t>
      </w:r>
      <w:r>
        <w:rPr>
          <w:rFonts w:hint="eastAsia" w:ascii="仿宋_GB2312" w:eastAsia="仿宋_GB2312"/>
          <w:sz w:val="32"/>
          <w:szCs w:val="32"/>
          <w:lang w:val="zh-CN"/>
        </w:rPr>
        <w:t>公务用车运行维护费支出。公务用车购置数0辆，公务用车保有量0辆。国有资产占用情况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固定资产车辆数与公务用车保有量无差异</w:t>
      </w:r>
      <w:r>
        <w:rPr>
          <w:rFonts w:hint="eastAsia" w:ascii="仿宋_GB2312" w:eastAsia="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本单位年初未安排</w:t>
      </w:r>
      <w:r>
        <w:rPr>
          <w:rFonts w:hint="eastAsia" w:ascii="仿宋_GB2312" w:eastAsia="仿宋_GB2312"/>
          <w:sz w:val="32"/>
          <w:szCs w:val="32"/>
          <w:lang w:val="zh-CN"/>
        </w:rPr>
        <w:t>公务接待费</w:t>
      </w:r>
      <w:r>
        <w:rPr>
          <w:rFonts w:hint="eastAsia" w:ascii="仿宋_GB2312" w:eastAsia="仿宋_GB2312"/>
          <w:sz w:val="32"/>
          <w:szCs w:val="32"/>
        </w:rPr>
        <w:t>支出</w:t>
      </w:r>
      <w:r>
        <w:rPr>
          <w:rFonts w:hint="eastAsia" w:ascii="仿宋_GB2312" w:eastAsia="仿宋_GB2312"/>
          <w:sz w:val="32"/>
          <w:szCs w:val="32"/>
          <w:lang w:val="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sz w:val="32"/>
          <w:szCs w:val="32"/>
        </w:rPr>
        <w:t>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经费支出全年预算数0.00万元，决算数0.00万元，预决算差异率0.00%，主要原因是：本单位年初预算未安排</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w:t>
      </w:r>
      <w:r>
        <w:rPr>
          <w:rFonts w:hint="eastAsia" w:ascii="仿宋_GB2312" w:eastAsia="仿宋_GB2312"/>
          <w:sz w:val="32"/>
          <w:szCs w:val="32"/>
          <w:lang w:eastAsia="zh-CN"/>
        </w:rPr>
        <w:t>，</w:t>
      </w:r>
      <w:r>
        <w:rPr>
          <w:rFonts w:hint="eastAsia" w:ascii="仿宋_GB2312" w:eastAsia="仿宋_GB2312"/>
          <w:sz w:val="32"/>
          <w:szCs w:val="32"/>
          <w:lang w:val="en-US" w:eastAsia="zh-CN"/>
        </w:rPr>
        <w:t>本年度没有此项开支</w:t>
      </w:r>
      <w:r>
        <w:rPr>
          <w:rFonts w:ascii="仿宋_GB2312" w:eastAsia="仿宋_GB2312"/>
          <w:sz w:val="32"/>
          <w:szCs w:val="32"/>
        </w:rPr>
        <w:t>。其中：因公出国（境）费全年预算数0.00万元，决算数0.00万元，预决算差异率0.00%，主要原因是：本单位年初预算未安排因公出国（境）费支出</w:t>
      </w:r>
      <w:r>
        <w:rPr>
          <w:rFonts w:hint="eastAsia" w:ascii="仿宋_GB2312" w:eastAsia="仿宋_GB2312"/>
          <w:sz w:val="32"/>
          <w:szCs w:val="32"/>
          <w:lang w:eastAsia="zh-CN"/>
        </w:rPr>
        <w:t>，</w:t>
      </w:r>
      <w:r>
        <w:rPr>
          <w:rFonts w:hint="eastAsia" w:ascii="仿宋_GB2312" w:eastAsia="仿宋_GB2312"/>
          <w:sz w:val="32"/>
          <w:szCs w:val="32"/>
          <w:lang w:val="en-US" w:eastAsia="zh-CN"/>
        </w:rPr>
        <w:t>本年度没有此项开支</w:t>
      </w:r>
      <w:r>
        <w:rPr>
          <w:rFonts w:hint="eastAsia" w:ascii="仿宋_GB2312" w:eastAsia="仿宋_GB2312"/>
          <w:sz w:val="32"/>
          <w:szCs w:val="32"/>
          <w:lang w:eastAsia="zh-CN"/>
        </w:rPr>
        <w:t>；</w:t>
      </w:r>
      <w:r>
        <w:rPr>
          <w:rFonts w:ascii="仿宋_GB2312" w:eastAsia="仿宋_GB2312"/>
          <w:sz w:val="32"/>
          <w:szCs w:val="32"/>
        </w:rPr>
        <w:t>公务用车购置费全年预算数0.00万元，决算数0.00万元，预决算差异率0.00%，主要原因是：本单位年初预算未安排公务用车购置费支出</w:t>
      </w:r>
      <w:r>
        <w:rPr>
          <w:rFonts w:hint="eastAsia" w:ascii="仿宋_GB2312" w:eastAsia="仿宋_GB2312"/>
          <w:sz w:val="32"/>
          <w:szCs w:val="32"/>
          <w:lang w:eastAsia="zh-CN"/>
        </w:rPr>
        <w:t>，</w:t>
      </w:r>
      <w:r>
        <w:rPr>
          <w:rFonts w:hint="eastAsia" w:ascii="仿宋_GB2312" w:eastAsia="仿宋_GB2312"/>
          <w:sz w:val="32"/>
          <w:szCs w:val="32"/>
          <w:lang w:val="en-US" w:eastAsia="zh-CN"/>
        </w:rPr>
        <w:t>本年度没有此项开支</w:t>
      </w:r>
      <w:r>
        <w:rPr>
          <w:rFonts w:hint="eastAsia" w:ascii="仿宋_GB2312" w:eastAsia="仿宋_GB2312"/>
          <w:sz w:val="32"/>
          <w:szCs w:val="32"/>
          <w:lang w:eastAsia="zh-CN"/>
        </w:rPr>
        <w:t>；</w:t>
      </w:r>
      <w:r>
        <w:rPr>
          <w:rFonts w:ascii="仿宋_GB2312" w:eastAsia="仿宋_GB2312"/>
          <w:sz w:val="32"/>
          <w:szCs w:val="32"/>
        </w:rPr>
        <w:t>公务用车运行费全年预算数0.00万元，决算数0.00万元，预决算差异率0.00%，主要原因是：本单位年初预算未安排公务用车运行费支出</w:t>
      </w:r>
      <w:r>
        <w:rPr>
          <w:rFonts w:hint="eastAsia" w:ascii="仿宋_GB2312" w:eastAsia="仿宋_GB2312"/>
          <w:sz w:val="32"/>
          <w:szCs w:val="32"/>
          <w:lang w:eastAsia="zh-CN"/>
        </w:rPr>
        <w:t>，</w:t>
      </w:r>
      <w:r>
        <w:rPr>
          <w:rFonts w:hint="eastAsia" w:ascii="仿宋_GB2312" w:eastAsia="仿宋_GB2312"/>
          <w:sz w:val="32"/>
          <w:szCs w:val="32"/>
          <w:lang w:val="en-US" w:eastAsia="zh-CN"/>
        </w:rPr>
        <w:t>本年度没有此项开支</w:t>
      </w:r>
      <w:r>
        <w:rPr>
          <w:rFonts w:hint="eastAsia" w:ascii="仿宋_GB2312" w:eastAsia="仿宋_GB2312"/>
          <w:sz w:val="32"/>
          <w:szCs w:val="32"/>
          <w:lang w:eastAsia="zh-CN"/>
        </w:rPr>
        <w:t>；</w:t>
      </w:r>
      <w:r>
        <w:rPr>
          <w:rFonts w:ascii="仿宋_GB2312" w:eastAsia="仿宋_GB2312"/>
          <w:sz w:val="32"/>
          <w:szCs w:val="32"/>
        </w:rPr>
        <w:t>公务接待费全年预算数0.00万元，决算数0.00万元，预决算差异率0.00%，主要原因是：本单位年初预算未安排公务接待费支出</w:t>
      </w:r>
      <w:r>
        <w:rPr>
          <w:rFonts w:hint="eastAsia" w:ascii="仿宋_GB2312" w:eastAsia="仿宋_GB2312"/>
          <w:sz w:val="32"/>
          <w:szCs w:val="32"/>
          <w:lang w:eastAsia="zh-CN"/>
        </w:rPr>
        <w:t>，</w:t>
      </w:r>
      <w:r>
        <w:rPr>
          <w:rFonts w:hint="eastAsia" w:ascii="仿宋_GB2312" w:eastAsia="仿宋_GB2312"/>
          <w:sz w:val="32"/>
          <w:szCs w:val="32"/>
          <w:lang w:val="en-US" w:eastAsia="zh-CN"/>
        </w:rPr>
        <w:t>本年度没有此项开支</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color w:val="auto"/>
          <w:sz w:val="32"/>
          <w:szCs w:val="32"/>
          <w:highlight w:val="none"/>
          <w:lang w:eastAsia="zh-CN"/>
        </w:rPr>
      </w:pPr>
      <w:r>
        <w:rPr>
          <w:rFonts w:ascii="仿宋_GB2312" w:eastAsia="仿宋_GB2312"/>
          <w:color w:val="auto"/>
          <w:sz w:val="32"/>
          <w:szCs w:val="32"/>
          <w:highlight w:val="none"/>
        </w:rPr>
        <w:t>2024年</w:t>
      </w:r>
      <w:r>
        <w:rPr>
          <w:rFonts w:hint="eastAsia" w:ascii="CESI仿宋-GB2312" w:hAnsi="CESI仿宋-GB2312" w:eastAsia="CESI仿宋-GB2312" w:cs="CESI仿宋-GB2312"/>
          <w:sz w:val="32"/>
          <w:szCs w:val="32"/>
          <w:highlight w:val="none"/>
          <w:lang w:val="zh-CN"/>
        </w:rPr>
        <w:t>度</w:t>
      </w:r>
      <w:r>
        <w:rPr>
          <w:rFonts w:hint="eastAsia" w:ascii="CESI仿宋-GB2312" w:hAnsi="CESI仿宋-GB2312" w:eastAsia="CESI仿宋-GB2312" w:cs="CESI仿宋-GB2312"/>
          <w:sz w:val="32"/>
          <w:szCs w:val="32"/>
          <w:highlight w:val="none"/>
        </w:rPr>
        <w:t>新疆艺术剧院民族乐团（新疆民乐团）</w:t>
      </w:r>
      <w:r>
        <w:rPr>
          <w:rFonts w:hint="eastAsia" w:ascii="CESI仿宋-GB2312" w:hAnsi="CESI仿宋-GB2312" w:eastAsia="CESI仿宋-GB2312" w:cs="CESI仿宋-GB2312"/>
          <w:sz w:val="32"/>
          <w:szCs w:val="32"/>
          <w:highlight w:val="none"/>
          <w:lang w:eastAsia="zh-CN"/>
        </w:rPr>
        <w:t>公用</w:t>
      </w:r>
      <w:r>
        <w:rPr>
          <w:rFonts w:ascii="仿宋_GB2312" w:eastAsia="仿宋_GB2312"/>
          <w:color w:val="auto"/>
          <w:sz w:val="32"/>
          <w:szCs w:val="32"/>
          <w:highlight w:val="none"/>
        </w:rPr>
        <w:t>经费支出71.62万元，比上年增加17.27万元，增长31.78%，主要原因是：</w:t>
      </w:r>
      <w:r>
        <w:rPr>
          <w:rFonts w:hint="eastAsia" w:ascii="CESI仿宋-GB2312" w:hAnsi="CESI仿宋-GB2312" w:eastAsia="CESI仿宋-GB2312" w:cs="CESI仿宋-GB2312"/>
          <w:sz w:val="32"/>
          <w:szCs w:val="32"/>
          <w:highlight w:val="none"/>
          <w:lang w:val="en-US" w:eastAsia="zh-CN"/>
        </w:rPr>
        <w:t>访惠聚下乡演出差旅费支出增加</w:t>
      </w:r>
      <w:r>
        <w:rPr>
          <w:rFonts w:ascii="仿宋_GB2312" w:eastAsia="仿宋_GB2312"/>
          <w:color w:val="auto"/>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2024年度政府采购支出总额56.71万元，其中：政府采购货物支出56.71万元、政府采购工程支出0.00万元、政府采购服务支出0.00万元。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授予中小企业合同金额56.71万元，占政府采购支出总额的100.00%，其中：授予小微企业合同金额56.71万元，占政府采购支出总额的100.00%。</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无其他用车</w:t>
      </w:r>
      <w:r>
        <w:rPr>
          <w:rFonts w:hint="eastAsia" w:ascii="仿宋_GB2312" w:eastAsia="仿宋_GB2312"/>
          <w:sz w:val="32"/>
          <w:szCs w:val="32"/>
          <w:lang w:eastAsia="zh-CN"/>
        </w:rPr>
        <w:t>。</w:t>
      </w:r>
      <w:r>
        <w:rPr>
          <w:rFonts w:ascii="仿宋_GB2312" w:eastAsia="仿宋_GB2312"/>
          <w:sz w:val="32"/>
          <w:szCs w:val="32"/>
        </w:rPr>
        <w:t>单价100万元（含）以上设备（不含车辆）0台（套）。</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根据预算绩效管理要求，本单位2024年度预算绩效评价项目2个，全年预算数160.00万元，全年执行数160.00万元</w:t>
      </w:r>
      <w:r>
        <w:rPr>
          <w:rFonts w:hint="eastAsia" w:ascii="仿宋_GB2312" w:eastAsia="仿宋_GB2312"/>
          <w:sz w:val="32"/>
          <w:szCs w:val="32"/>
          <w:lang w:eastAsia="zh-CN"/>
        </w:rPr>
        <w:t>。</w:t>
      </w:r>
      <w:r>
        <w:rPr>
          <w:rFonts w:ascii="仿宋_GB2312" w:eastAsia="仿宋_GB2312"/>
          <w:sz w:val="32"/>
          <w:szCs w:val="32"/>
        </w:rPr>
        <w:t>预算绩效管理取得的成效：一是专款专用，提高资金使用效率；二是项目资金的使用本着公开、公平、公正的原则进行了招标采购、合同签订和项目实施，在项目的招标采购，项目大额资金支付由党支部会决议，财务严格把控</w:t>
      </w:r>
      <w:r>
        <w:rPr>
          <w:rFonts w:hint="eastAsia" w:ascii="仿宋_GB2312" w:eastAsia="仿宋_GB2312"/>
          <w:sz w:val="32"/>
          <w:szCs w:val="32"/>
          <w:lang w:eastAsia="zh-CN"/>
        </w:rPr>
        <w:t>。</w:t>
      </w:r>
      <w:r>
        <w:rPr>
          <w:rFonts w:ascii="仿宋_GB2312" w:eastAsia="仿宋_GB2312"/>
          <w:sz w:val="32"/>
          <w:szCs w:val="32"/>
        </w:rPr>
        <w:t>发现的问题及原因：一是预算管理的全面性基础工作不扎实</w:t>
      </w:r>
      <w:r>
        <w:rPr>
          <w:rFonts w:hint="eastAsia" w:ascii="仿宋_GB2312" w:eastAsia="仿宋_GB2312"/>
          <w:sz w:val="32"/>
          <w:szCs w:val="32"/>
          <w:lang w:eastAsia="zh-CN"/>
        </w:rPr>
        <w:t>。</w:t>
      </w:r>
      <w:r>
        <w:rPr>
          <w:rFonts w:ascii="仿宋_GB2312" w:eastAsia="仿宋_GB2312"/>
          <w:sz w:val="32"/>
          <w:szCs w:val="32"/>
        </w:rPr>
        <w:t>二是领导层缺乏预算绩效管理重视度，预算绩效管理意识不强</w:t>
      </w:r>
      <w:r>
        <w:rPr>
          <w:rFonts w:hint="eastAsia" w:ascii="仿宋_GB2312" w:eastAsia="仿宋_GB2312"/>
          <w:sz w:val="32"/>
          <w:szCs w:val="32"/>
          <w:lang w:eastAsia="zh-CN"/>
        </w:rPr>
        <w:t>。</w:t>
      </w:r>
      <w:r>
        <w:rPr>
          <w:rFonts w:ascii="仿宋_GB2312" w:eastAsia="仿宋_GB2312"/>
          <w:sz w:val="32"/>
          <w:szCs w:val="32"/>
        </w:rPr>
        <w:t>下一步改进措施：一是使预算绩效管理工作落地实处，让全员参与预算及预算绩效工作当中来，而不是间接参与或被动参与预算绩效管理工作。逐步实现预算绩效管理的全覆盖，使预算绩效管理工作真正落到实处；二是提高事业单位对预算绩效管理的认识。预算绩效管理工作需要全体人员的共同重视和各部门的共同参与。充分调动各部门都与预算绩效管理紧密地结合在一起，提高全面预算绩效管理的实用价值，全面落实预算绩效管理工作。具体附项目支出绩效自评表</w:t>
      </w:r>
      <w:r>
        <w:rPr>
          <w:rFonts w:hint="eastAsia" w:ascii="仿宋_GB2312" w:eastAsia="仿宋_GB2312"/>
          <w:sz w:val="32"/>
          <w:szCs w:val="32"/>
          <w:lang w:eastAsia="zh-CN"/>
        </w:rPr>
        <w:t>（</w:t>
      </w:r>
      <w:r>
        <w:rPr>
          <w:rFonts w:ascii="仿宋_GB2312" w:eastAsia="仿宋_GB2312"/>
          <w:sz w:val="32"/>
          <w:szCs w:val="32"/>
        </w:rPr>
        <w:t>见附</w:t>
      </w:r>
      <w:r>
        <w:rPr>
          <w:rFonts w:hint="eastAsia" w:ascii="仿宋_GB2312" w:eastAsia="仿宋_GB2312"/>
          <w:sz w:val="32"/>
          <w:szCs w:val="32"/>
          <w:lang w:val="en-US" w:eastAsia="zh-CN"/>
        </w:rPr>
        <w:t>件2</w:t>
      </w:r>
      <w:r>
        <w:rPr>
          <w:rFonts w:hint="eastAsia" w:ascii="仿宋_GB2312" w:eastAsia="仿宋_GB2312"/>
          <w:sz w:val="32"/>
          <w:szCs w:val="32"/>
          <w:lang w:eastAsia="zh-CN"/>
        </w:rPr>
        <w:t>）</w:t>
      </w:r>
      <w:r>
        <w:rPr>
          <w:rFonts w:ascii="仿宋_GB2312" w:eastAsia="仿宋_GB2312"/>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ascii="黑体" w:eastAsia="黑体"/>
          <w:sz w:val="32"/>
          <w:szCs w:val="32"/>
        </w:rPr>
      </w:pPr>
      <w:r>
        <w:rPr>
          <w:rFonts w:ascii="黑体" w:eastAsia="黑体"/>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after="0" w:line="560" w:lineRule="exact"/>
        <w:ind w:firstLine="0" w:firstLineChars="200"/>
        <w:jc w:val="both"/>
        <w:textAlignment w:val="auto"/>
        <w:rPr>
          <w:rFonts w:ascii="仿宋_GB2312" w:eastAsia="仿宋_GB2312"/>
          <w:sz w:val="32"/>
          <w:szCs w:val="32"/>
        </w:rPr>
      </w:pPr>
      <w:r>
        <w:rPr>
          <w:sz w:val="0"/>
          <w:szCs w:val="0"/>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第三部分专业名词解释</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hint="eastAsia" w:ascii="仿宋_GB2312" w:eastAsia="仿宋_GB2312"/>
          <w:sz w:val="32"/>
          <w:szCs w:val="32"/>
          <w:lang w:eastAsia="zh-CN"/>
        </w:rPr>
        <w:t>“</w:t>
      </w:r>
      <w:r>
        <w:rPr>
          <w:rFonts w:ascii="仿宋_GB2312" w:eastAsia="仿宋_GB2312"/>
          <w:sz w:val="32"/>
          <w:szCs w:val="32"/>
        </w:rPr>
        <w:t>财政拨款收入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事业收入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经营收入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附属单位上缴收入</w:t>
      </w:r>
      <w:r>
        <w:rPr>
          <w:rFonts w:hint="eastAsia" w:ascii="仿宋_GB2312" w:eastAsia="仿宋_GB2312"/>
          <w:sz w:val="32"/>
          <w:szCs w:val="32"/>
          <w:lang w:eastAsia="zh-CN"/>
        </w:rPr>
        <w:t>”</w:t>
      </w:r>
      <w:r>
        <w:rPr>
          <w:rFonts w:ascii="仿宋_GB2312" w:eastAsia="仿宋_GB2312"/>
          <w:sz w:val="32"/>
          <w:szCs w:val="32"/>
        </w:rPr>
        <w:t>等之外取得的收入。</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pPr>
        <w:keepNext w:val="0"/>
        <w:keepLines w:val="0"/>
        <w:pageBreakBefore w:val="0"/>
        <w:kinsoku/>
        <w:wordWrap/>
        <w:overflowPunct/>
        <w:topLinePunct w:val="0"/>
        <w:autoSpaceDE/>
        <w:autoSpaceDN/>
        <w:bidi w:val="0"/>
        <w:adjustRightInd/>
        <w:snapToGrid/>
        <w:spacing w:after="0" w:line="560" w:lineRule="exact"/>
        <w:textAlignment w:val="auto"/>
      </w:pPr>
      <w:r>
        <w:rPr>
          <w:sz w:val="0"/>
          <w:szCs w:val="0"/>
        </w:rPr>
        <w:br w:type="page"/>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r>
        <w:rPr>
          <w:rFonts w:ascii="黑体" w:eastAsia="黑体"/>
          <w:sz w:val="32"/>
          <w:szCs w:val="32"/>
        </w:rPr>
        <w:t>第四部分部门决算报表（见附</w:t>
      </w:r>
      <w:r>
        <w:rPr>
          <w:rFonts w:hint="eastAsia" w:ascii="黑体" w:eastAsia="黑体"/>
          <w:sz w:val="32"/>
          <w:szCs w:val="32"/>
          <w:lang w:val="en-US" w:eastAsia="zh-CN"/>
        </w:rPr>
        <w:t>件1</w:t>
      </w:r>
      <w:r>
        <w:rPr>
          <w:rFonts w:ascii="黑体" w:eastAsia="黑体"/>
          <w:sz w:val="32"/>
          <w:szCs w:val="32"/>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一、《收入支出决算总表》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二、《收入决算表》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三、《支出决算表》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四、《财政拨款收入支出决算总表》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五、《一般公共预算财政拨款支出决算表》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六、《一般公共预算财政拨款基本支出决算表》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七、《政府性基金预算财政拨款收入支出决算表》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八、《国有资本经营预算财政拨款收入支出决算表》</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p>
    <w:p>
      <w:pPr>
        <w:keepNext w:val="0"/>
        <w:keepLines w:val="0"/>
        <w:pageBreakBefore w:val="0"/>
        <w:kinsoku/>
        <w:wordWrap/>
        <w:overflowPunct/>
        <w:topLinePunct w:val="0"/>
        <w:autoSpaceDE/>
        <w:autoSpaceDN/>
        <w:bidi w:val="0"/>
        <w:adjustRightInd/>
        <w:snapToGrid/>
        <w:spacing w:after="0" w:line="560" w:lineRule="exact"/>
        <w:jc w:val="center"/>
        <w:textAlignment w:val="auto"/>
        <w:outlineLvl w:val="0"/>
        <w:rPr>
          <w:rFonts w:ascii="黑体" w:eastAsia="黑体"/>
          <w:sz w:val="32"/>
          <w:szCs w:val="32"/>
        </w:rPr>
      </w:pPr>
      <w:bookmarkStart w:id="1" w:name="_GoBack"/>
      <w:bookmarkEnd w:id="1"/>
      <w:r>
        <w:rPr>
          <w:rFonts w:ascii="黑体" w:eastAsia="黑体"/>
          <w:sz w:val="32"/>
          <w:szCs w:val="32"/>
        </w:rPr>
        <w:t>第</w:t>
      </w:r>
      <w:r>
        <w:rPr>
          <w:rFonts w:hint="eastAsia" w:ascii="黑体" w:eastAsia="黑体"/>
          <w:sz w:val="32"/>
          <w:szCs w:val="32"/>
          <w:lang w:val="en-US" w:eastAsia="zh-CN"/>
        </w:rPr>
        <w:t>五</w:t>
      </w:r>
      <w:r>
        <w:rPr>
          <w:rFonts w:ascii="黑体" w:eastAsia="黑体"/>
          <w:sz w:val="32"/>
          <w:szCs w:val="32"/>
        </w:rPr>
        <w:t>部分</w:t>
      </w:r>
      <w:r>
        <w:rPr>
          <w:rFonts w:hint="eastAsia" w:ascii="黑体" w:eastAsia="黑体"/>
          <w:sz w:val="32"/>
          <w:szCs w:val="32"/>
          <w:lang w:val="en-US" w:eastAsia="zh-CN"/>
        </w:rPr>
        <w:t xml:space="preserve"> 项目绩效自评表</w:t>
      </w:r>
      <w:r>
        <w:rPr>
          <w:rFonts w:ascii="黑体" w:eastAsia="黑体"/>
          <w:sz w:val="32"/>
          <w:szCs w:val="32"/>
        </w:rPr>
        <w:t>（见附</w:t>
      </w:r>
      <w:r>
        <w:rPr>
          <w:rFonts w:hint="eastAsia" w:ascii="黑体" w:eastAsia="黑体"/>
          <w:sz w:val="32"/>
          <w:szCs w:val="32"/>
          <w:lang w:val="en-US" w:eastAsia="zh-CN"/>
        </w:rPr>
        <w:t>件2</w:t>
      </w:r>
      <w:r>
        <w:rPr>
          <w:rFonts w:ascii="黑体" w:eastAsia="黑体"/>
          <w:sz w:val="32"/>
          <w:szCs w:val="32"/>
        </w:rPr>
        <w:t>）</w:t>
      </w:r>
    </w:p>
    <w:p>
      <w:pPr>
        <w:keepNext w:val="0"/>
        <w:keepLines w:val="0"/>
        <w:pageBreakBefore w:val="0"/>
        <w:kinsoku/>
        <w:wordWrap/>
        <w:overflowPunct/>
        <w:topLinePunct w:val="0"/>
        <w:autoSpaceDE/>
        <w:autoSpaceDN/>
        <w:bidi w:val="0"/>
        <w:adjustRightInd/>
        <w:snapToGrid/>
        <w:spacing w:after="0" w:line="560" w:lineRule="exact"/>
        <w:ind w:firstLine="640" w:firstLineChars="200"/>
        <w:textAlignment w:val="auto"/>
        <w:outlineLvl w:val="1"/>
        <w:rPr>
          <w:rFonts w:ascii="仿宋_GB2312" w:eastAsia="仿宋_GB2312"/>
          <w:sz w:val="32"/>
          <w:szCs w:val="32"/>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roman"/>
    <w:pitch w:val="default"/>
    <w:sig w:usb0="00000000" w:usb1="00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4F741B"/>
    <w:rsid w:val="004F741B"/>
    <w:rsid w:val="005D3409"/>
    <w:rsid w:val="011F345E"/>
    <w:rsid w:val="02D54924"/>
    <w:rsid w:val="02F9244A"/>
    <w:rsid w:val="03575C81"/>
    <w:rsid w:val="038770B9"/>
    <w:rsid w:val="05706B86"/>
    <w:rsid w:val="05D15877"/>
    <w:rsid w:val="08841D66"/>
    <w:rsid w:val="0B391601"/>
    <w:rsid w:val="0DD24882"/>
    <w:rsid w:val="0FBC1346"/>
    <w:rsid w:val="138C102F"/>
    <w:rsid w:val="16BB4159"/>
    <w:rsid w:val="17742506"/>
    <w:rsid w:val="1C623209"/>
    <w:rsid w:val="20515FF4"/>
    <w:rsid w:val="20673134"/>
    <w:rsid w:val="22DD18A7"/>
    <w:rsid w:val="237B673C"/>
    <w:rsid w:val="266B41FB"/>
    <w:rsid w:val="299B662F"/>
    <w:rsid w:val="2A4E308A"/>
    <w:rsid w:val="2DD218DC"/>
    <w:rsid w:val="2EF53300"/>
    <w:rsid w:val="2F950E14"/>
    <w:rsid w:val="3A3E27D3"/>
    <w:rsid w:val="3C0C0BD8"/>
    <w:rsid w:val="3CF61D9A"/>
    <w:rsid w:val="3E131B5C"/>
    <w:rsid w:val="3F8E28E2"/>
    <w:rsid w:val="3FDC5CB4"/>
    <w:rsid w:val="453637DE"/>
    <w:rsid w:val="47CF0F0F"/>
    <w:rsid w:val="48FD5F50"/>
    <w:rsid w:val="4AD20EAE"/>
    <w:rsid w:val="4B160415"/>
    <w:rsid w:val="4B507631"/>
    <w:rsid w:val="4CA77E00"/>
    <w:rsid w:val="4D95583D"/>
    <w:rsid w:val="4E8A4519"/>
    <w:rsid w:val="4FAB400F"/>
    <w:rsid w:val="561172C3"/>
    <w:rsid w:val="563C7000"/>
    <w:rsid w:val="57027076"/>
    <w:rsid w:val="574B16CB"/>
    <w:rsid w:val="599A254D"/>
    <w:rsid w:val="5DF732F6"/>
    <w:rsid w:val="5E9440C0"/>
    <w:rsid w:val="61012CF8"/>
    <w:rsid w:val="66365674"/>
    <w:rsid w:val="684C6BA2"/>
    <w:rsid w:val="69C66C68"/>
    <w:rsid w:val="6C3F6142"/>
    <w:rsid w:val="6D5676C6"/>
    <w:rsid w:val="6D734DE1"/>
    <w:rsid w:val="6E062F4B"/>
    <w:rsid w:val="6E82642B"/>
    <w:rsid w:val="6ED10AB1"/>
    <w:rsid w:val="6EFB073B"/>
    <w:rsid w:val="70E37655"/>
    <w:rsid w:val="71B60E4E"/>
    <w:rsid w:val="72053589"/>
    <w:rsid w:val="75DC7A86"/>
    <w:rsid w:val="774B3CF1"/>
    <w:rsid w:val="77E14429"/>
    <w:rsid w:val="7AE81AE6"/>
    <w:rsid w:val="7B0B7A4F"/>
    <w:rsid w:val="7D364FB1"/>
    <w:rsid w:val="9FFFF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3">
    <w:name w:val="heading 1"/>
    <w:basedOn w:val="1"/>
    <w:next w:val="1"/>
    <w:link w:val="21"/>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2">
    <w:name w:val="heading 2"/>
    <w:basedOn w:val="1"/>
    <w:next w:val="1"/>
    <w:link w:val="22"/>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3"/>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4"/>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toc 3"/>
    <w:basedOn w:val="1"/>
    <w:next w:val="1"/>
    <w:qFormat/>
    <w:uiPriority w:val="0"/>
    <w:pPr>
      <w:ind w:left="840" w:leftChars="400"/>
    </w:pPr>
  </w:style>
  <w:style w:type="paragraph" w:styleId="10">
    <w:name w:val="header"/>
    <w:basedOn w:val="1"/>
    <w:link w:val="20"/>
    <w:unhideWhenUsed/>
    <w:qFormat/>
    <w:uiPriority w:val="99"/>
    <w:pPr>
      <w:tabs>
        <w:tab w:val="center" w:pos="4680"/>
        <w:tab w:val="right" w:pos="9360"/>
      </w:tabs>
    </w:pPr>
  </w:style>
  <w:style w:type="paragraph" w:styleId="11">
    <w:name w:val="toc 1"/>
    <w:basedOn w:val="1"/>
    <w:next w:val="1"/>
    <w:qFormat/>
    <w:uiPriority w:val="0"/>
  </w:style>
  <w:style w:type="paragraph" w:styleId="12">
    <w:name w:val="Subtitle"/>
    <w:basedOn w:val="1"/>
    <w:next w:val="1"/>
    <w:link w:val="25"/>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3">
    <w:name w:val="toc 2"/>
    <w:basedOn w:val="1"/>
    <w:next w:val="1"/>
    <w:qFormat/>
    <w:uiPriority w:val="0"/>
    <w:pPr>
      <w:ind w:left="420" w:leftChars="200"/>
    </w:pPr>
  </w:style>
  <w:style w:type="paragraph" w:styleId="14">
    <w:name w:val="Title"/>
    <w:basedOn w:val="1"/>
    <w:next w:val="1"/>
    <w:link w:val="2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6">
    <w:name w:val="Table Grid"/>
    <w:basedOn w:val="1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Emphasis"/>
    <w:basedOn w:val="17"/>
    <w:qFormat/>
    <w:uiPriority w:val="20"/>
    <w:rPr>
      <w:i/>
      <w:iCs/>
    </w:rPr>
  </w:style>
  <w:style w:type="character" w:styleId="19">
    <w:name w:val="Hyperlink"/>
    <w:basedOn w:val="17"/>
    <w:unhideWhenUsed/>
    <w:qFormat/>
    <w:uiPriority w:val="99"/>
    <w:rPr>
      <w:color w:val="0000FF" w:themeColor="hyperlink"/>
      <w:u w:val="single"/>
    </w:rPr>
  </w:style>
  <w:style w:type="character" w:customStyle="1" w:styleId="20">
    <w:name w:val="页眉 Char"/>
    <w:basedOn w:val="17"/>
    <w:link w:val="10"/>
    <w:qFormat/>
    <w:uiPriority w:val="99"/>
  </w:style>
  <w:style w:type="character" w:customStyle="1" w:styleId="21">
    <w:name w:val="标题 1 Char"/>
    <w:basedOn w:val="17"/>
    <w:link w:val="3"/>
    <w:qFormat/>
    <w:uiPriority w:val="9"/>
    <w:rPr>
      <w:rFonts w:asciiTheme="majorHAnsi" w:hAnsiTheme="majorHAnsi" w:eastAsiaTheme="majorEastAsia" w:cstheme="majorBidi"/>
      <w:b/>
      <w:bCs/>
      <w:color w:val="366091" w:themeColor="accent1" w:themeShade="BF"/>
      <w:sz w:val="28"/>
      <w:szCs w:val="28"/>
    </w:rPr>
  </w:style>
  <w:style w:type="character" w:customStyle="1" w:styleId="22">
    <w:name w:val="标题 2 Char"/>
    <w:basedOn w:val="17"/>
    <w:link w:val="2"/>
    <w:qFormat/>
    <w:uiPriority w:val="9"/>
    <w:rPr>
      <w:rFonts w:asciiTheme="majorHAnsi" w:hAnsiTheme="majorHAnsi" w:eastAsiaTheme="majorEastAsia" w:cstheme="majorBidi"/>
      <w:b/>
      <w:bCs/>
      <w:color w:val="4F81BD" w:themeColor="accent1"/>
      <w:sz w:val="26"/>
      <w:szCs w:val="26"/>
    </w:rPr>
  </w:style>
  <w:style w:type="character" w:customStyle="1" w:styleId="23">
    <w:name w:val="标题 3 Char"/>
    <w:basedOn w:val="17"/>
    <w:link w:val="4"/>
    <w:qFormat/>
    <w:uiPriority w:val="9"/>
    <w:rPr>
      <w:rFonts w:asciiTheme="majorHAnsi" w:hAnsiTheme="majorHAnsi" w:eastAsiaTheme="majorEastAsia" w:cstheme="majorBidi"/>
      <w:b/>
      <w:bCs/>
      <w:color w:val="4F81BD" w:themeColor="accent1"/>
    </w:rPr>
  </w:style>
  <w:style w:type="character" w:customStyle="1" w:styleId="24">
    <w:name w:val="标题 4 Char"/>
    <w:basedOn w:val="17"/>
    <w:link w:val="5"/>
    <w:qFormat/>
    <w:uiPriority w:val="9"/>
    <w:rPr>
      <w:rFonts w:asciiTheme="majorHAnsi" w:hAnsiTheme="majorHAnsi" w:eastAsiaTheme="majorEastAsia" w:cstheme="majorBidi"/>
      <w:b/>
      <w:bCs/>
      <w:i/>
      <w:iCs/>
      <w:color w:val="4F81BD" w:themeColor="accent1"/>
    </w:rPr>
  </w:style>
  <w:style w:type="character" w:customStyle="1" w:styleId="25">
    <w:name w:val="副标题 Char"/>
    <w:basedOn w:val="17"/>
    <w:link w:val="12"/>
    <w:qFormat/>
    <w:uiPriority w:val="11"/>
    <w:rPr>
      <w:rFonts w:asciiTheme="majorHAnsi" w:hAnsiTheme="majorHAnsi" w:eastAsiaTheme="majorEastAsia" w:cstheme="majorBidi"/>
      <w:i/>
      <w:iCs/>
      <w:color w:val="4F81BD" w:themeColor="accent1"/>
      <w:spacing w:val="15"/>
      <w:sz w:val="24"/>
      <w:szCs w:val="24"/>
    </w:rPr>
  </w:style>
  <w:style w:type="character" w:customStyle="1" w:styleId="26">
    <w:name w:val="标题 Char"/>
    <w:basedOn w:val="17"/>
    <w:link w:val="14"/>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5366</Words>
  <Characters>5993</Characters>
  <Lines>42</Lines>
  <Paragraphs>11</Paragraphs>
  <TotalTime>2</TotalTime>
  <ScaleCrop>false</ScaleCrop>
  <LinksUpToDate>false</LinksUpToDate>
  <CharactersWithSpaces>6003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2025-08-15T00:29:00Z</dcterms:created>
  <dc:creator>Administrator</dc:creator>
  <cp:lastModifiedBy>wlt</cp:lastModifiedBy>
  <dcterms:modified xsi:type="dcterms:W3CDTF">2025-08-28T12:33:28Z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eyJoZGlkIjoiNjdjNzAwOWFiZDc4M2ZiY2Q4MjZkZTQ5NmI5YjQyOWUiLCJ1c2VySWQiOiIzMzI5MjMyOTMifQ==</vt:lpwstr>
  </property>
  <property fmtid="{D5CDD505-2E9C-101B-9397-08002B2CF9AE}" pid="3" name="KSOProductBuildVer">
    <vt:lpwstr>2052-11.8.2.10251</vt:lpwstr>
  </property>
  <property fmtid="{D5CDD505-2E9C-101B-9397-08002B2CF9AE}" pid="4" name="ICV">
    <vt:lpwstr>FAF9C103D6564451903F7B7BEFE89034_12</vt:lpwstr>
  </property>
</Properties>
</file>